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230" w:firstLine="0" w:firstLineChars="0"/>
        <w:jc w:val="center"/>
        <w:rPr>
          <w:rFonts w:ascii="仿宋GB_2312" w:eastAsia="仿宋GB_2312"/>
          <w:b/>
          <w:bCs/>
          <w:sz w:val="52"/>
          <w:szCs w:val="52"/>
        </w:rPr>
      </w:pPr>
    </w:p>
    <w:p>
      <w:pPr>
        <w:ind w:right="230" w:firstLine="0" w:firstLineChars="0"/>
        <w:jc w:val="center"/>
        <w:rPr>
          <w:rFonts w:ascii="仿宋GB_2312" w:eastAsia="仿宋GB_2312"/>
          <w:b/>
          <w:bCs/>
          <w:sz w:val="52"/>
          <w:szCs w:val="52"/>
        </w:rPr>
      </w:pPr>
    </w:p>
    <w:p>
      <w:pPr>
        <w:ind w:right="230" w:firstLine="0" w:firstLineChars="0"/>
        <w:jc w:val="center"/>
        <w:rPr>
          <w:rFonts w:ascii="仿宋GB_2312" w:eastAsia="仿宋GB_2312"/>
          <w:b/>
          <w:bCs/>
          <w:sz w:val="52"/>
          <w:szCs w:val="52"/>
        </w:rPr>
      </w:pPr>
    </w:p>
    <w:p>
      <w:pPr>
        <w:ind w:right="230" w:firstLine="0" w:firstLineChars="0"/>
        <w:jc w:val="center"/>
        <w:rPr>
          <w:rFonts w:hint="eastAsia" w:ascii="黑体" w:hAnsi="黑体" w:eastAsia="黑体"/>
          <w:b/>
          <w:bCs/>
          <w:sz w:val="52"/>
          <w:szCs w:val="52"/>
          <w:lang w:val="en-US" w:eastAsia="zh-CN"/>
        </w:rPr>
      </w:pPr>
      <w:r>
        <w:rPr>
          <w:rFonts w:hint="eastAsia" w:ascii="黑体" w:hAnsi="黑体" w:eastAsia="黑体"/>
          <w:b/>
          <w:bCs/>
          <w:sz w:val="52"/>
          <w:szCs w:val="52"/>
          <w:lang w:val="en-US" w:eastAsia="zh-Hans"/>
        </w:rPr>
        <w:t>吉林</w:t>
      </w:r>
      <w:r>
        <w:rPr>
          <w:rFonts w:hint="eastAsia" w:ascii="黑体" w:hAnsi="黑体" w:eastAsia="黑体"/>
          <w:b/>
          <w:bCs/>
          <w:sz w:val="52"/>
          <w:szCs w:val="52"/>
        </w:rPr>
        <w:t>省</w:t>
      </w:r>
      <w:r>
        <w:rPr>
          <w:rFonts w:hint="eastAsia" w:ascii="黑体" w:hAnsi="黑体" w:eastAsia="黑体"/>
          <w:b/>
          <w:bCs/>
          <w:sz w:val="52"/>
          <w:szCs w:val="52"/>
          <w:lang w:val="en-US" w:eastAsia="zh-CN"/>
        </w:rPr>
        <w:t>农业科学院培训平台</w:t>
      </w:r>
    </w:p>
    <w:p>
      <w:pPr>
        <w:ind w:right="230" w:firstLine="0" w:firstLineChars="0"/>
        <w:jc w:val="center"/>
        <w:rPr>
          <w:rFonts w:hint="eastAsia" w:ascii="黑体" w:hAnsi="黑体" w:eastAsia="黑体"/>
          <w:b/>
          <w:bCs/>
          <w:sz w:val="52"/>
          <w:szCs w:val="52"/>
          <w:lang w:val="en-US" w:eastAsia="zh-CN"/>
        </w:rPr>
      </w:pPr>
      <w:r>
        <w:rPr>
          <w:rFonts w:hint="eastAsia" w:ascii="黑体" w:hAnsi="黑体" w:eastAsia="黑体"/>
          <w:b/>
          <w:bCs/>
          <w:sz w:val="52"/>
          <w:szCs w:val="52"/>
          <w:lang w:val="en-US" w:eastAsia="zh-CN"/>
        </w:rPr>
        <w:t>集体报名学员</w:t>
      </w:r>
    </w:p>
    <w:p>
      <w:pPr>
        <w:ind w:right="230" w:firstLine="0" w:firstLineChars="0"/>
        <w:jc w:val="center"/>
        <w:rPr>
          <w:rFonts w:hint="default" w:ascii="黑体" w:hAnsi="黑体" w:eastAsia="黑体"/>
          <w:b/>
          <w:bCs/>
          <w:sz w:val="52"/>
          <w:szCs w:val="52"/>
          <w:lang w:val="en-US" w:eastAsia="zh-CN"/>
        </w:rPr>
      </w:pPr>
      <w:r>
        <w:rPr>
          <w:rFonts w:hint="eastAsia" w:ascii="黑体" w:hAnsi="黑体" w:eastAsia="黑体"/>
          <w:b/>
          <w:bCs/>
          <w:sz w:val="52"/>
          <w:szCs w:val="52"/>
          <w:lang w:val="en-US" w:eastAsia="zh-CN"/>
        </w:rPr>
        <w:t>操作流程</w:t>
      </w:r>
    </w:p>
    <w:p>
      <w:pPr>
        <w:ind w:firstLine="0" w:firstLineChars="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decimal"/>
          <w:cols w:space="425" w:num="1"/>
          <w:titlePg/>
          <w:docGrid w:type="lines" w:linePitch="312" w:charSpace="0"/>
        </w:sectPr>
      </w:pPr>
      <w:bookmarkStart w:id="2" w:name="_GoBack"/>
      <w:bookmarkEnd w:id="2"/>
    </w:p>
    <w:p>
      <w:pPr>
        <w:pStyle w:val="3"/>
        <w:numPr>
          <w:ilvl w:val="0"/>
          <w:numId w:val="0"/>
        </w:numPr>
        <w:rPr>
          <w:rFonts w:hint="eastAsia" w:ascii="黑体" w:hAnsi="黑体" w:eastAsia="黑体" w:cs="黑体"/>
          <w:b w:val="0"/>
          <w:bCs w:val="0"/>
          <w:sz w:val="32"/>
          <w:szCs w:val="32"/>
        </w:rPr>
      </w:pPr>
      <w:bookmarkStart w:id="0" w:name="_Toc26920"/>
      <w:bookmarkStart w:id="1" w:name="_Toc77150220"/>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登录</w:t>
      </w:r>
      <w:bookmarkEnd w:id="0"/>
      <w:bookmarkEnd w:id="1"/>
    </w:p>
    <w:p>
      <w:pPr>
        <w:numPr>
          <w:ilvl w:val="0"/>
          <w:numId w:val="0"/>
        </w:numPr>
        <w:rPr>
          <w:rFonts w:hint="eastAsia"/>
          <w:b/>
          <w:bCs/>
          <w:sz w:val="28"/>
          <w:szCs w:val="28"/>
          <w:lang w:val="en-US" w:eastAsia="zh-CN"/>
        </w:rPr>
      </w:pPr>
      <w:r>
        <w:rPr>
          <w:rFonts w:hint="eastAsia"/>
          <w:b/>
          <w:bCs/>
          <w:sz w:val="28"/>
          <w:szCs w:val="28"/>
          <w:lang w:val="en-US" w:eastAsia="zh-CN"/>
        </w:rPr>
        <w:t>1、通过吉林省专业技术人员继续教育公共服务平台登录：</w:t>
      </w:r>
    </w:p>
    <w:p>
      <w:pPr>
        <w:numPr>
          <w:ilvl w:val="0"/>
          <w:numId w:val="0"/>
        </w:numPr>
        <w:rPr>
          <w:rFonts w:hint="eastAsia"/>
          <w:sz w:val="28"/>
          <w:szCs w:val="32"/>
          <w:lang w:val="en-US" w:eastAsia="zh-CN"/>
        </w:rPr>
      </w:pPr>
      <w:r>
        <w:rPr>
          <w:rFonts w:hint="eastAsia"/>
          <w:sz w:val="28"/>
          <w:szCs w:val="32"/>
          <w:lang w:eastAsia="zh-CN"/>
        </w:rPr>
        <w:t>打开</w:t>
      </w:r>
      <w:r>
        <w:rPr>
          <w:rFonts w:hint="eastAsia"/>
          <w:color w:val="0000FF"/>
          <w:sz w:val="28"/>
          <w:szCs w:val="32"/>
          <w:u w:val="wave"/>
          <w:lang w:eastAsia="zh-CN"/>
        </w:rPr>
        <w:t>http://139.215.200.154:9990</w:t>
      </w:r>
      <w:r>
        <w:rPr>
          <w:rFonts w:hint="default"/>
          <w:color w:val="0000FF"/>
          <w:sz w:val="28"/>
          <w:szCs w:val="32"/>
          <w:u w:val="wave"/>
          <w:lang w:eastAsia="zh-CN"/>
        </w:rPr>
        <w:t xml:space="preserve"> </w:t>
      </w:r>
      <w:r>
        <w:rPr>
          <w:rFonts w:hint="eastAsia"/>
          <w:sz w:val="28"/>
          <w:szCs w:val="32"/>
          <w:lang w:eastAsia="zh-Hans"/>
        </w:rPr>
        <w:t>（</w:t>
      </w:r>
      <w:r>
        <w:rPr>
          <w:rFonts w:hint="default"/>
          <w:sz w:val="28"/>
          <w:szCs w:val="32"/>
        </w:rPr>
        <w:t>吉林</w:t>
      </w:r>
      <w:r>
        <w:rPr>
          <w:rFonts w:hint="eastAsia"/>
          <w:sz w:val="28"/>
          <w:szCs w:val="32"/>
        </w:rPr>
        <w:t>省专业技术人员继续教育公共服务平台）</w:t>
      </w:r>
      <w:r>
        <w:rPr>
          <w:rFonts w:hint="eastAsia"/>
          <w:sz w:val="28"/>
          <w:szCs w:val="32"/>
          <w:lang w:eastAsia="zh-CN"/>
        </w:rPr>
        <w:t>，在网站首页【</w:t>
      </w:r>
      <w:r>
        <w:rPr>
          <w:rFonts w:hint="eastAsia"/>
          <w:sz w:val="28"/>
          <w:szCs w:val="32"/>
          <w:lang w:val="en-US" w:eastAsia="zh-CN"/>
        </w:rPr>
        <w:t>平台登录入口</w:t>
      </w:r>
      <w:r>
        <w:rPr>
          <w:rFonts w:hint="eastAsia"/>
          <w:sz w:val="28"/>
          <w:szCs w:val="32"/>
          <w:lang w:eastAsia="zh-CN"/>
        </w:rPr>
        <w:t>】窗口，</w:t>
      </w:r>
      <w:r>
        <w:rPr>
          <w:rFonts w:hint="eastAsia"/>
          <w:sz w:val="28"/>
          <w:szCs w:val="32"/>
        </w:rPr>
        <w:t>选择“专技人员</w:t>
      </w:r>
      <w:r>
        <w:rPr>
          <w:rFonts w:hint="eastAsia"/>
          <w:sz w:val="28"/>
          <w:szCs w:val="32"/>
          <w:lang w:val="en-US" w:eastAsia="zh-Hans"/>
        </w:rPr>
        <w:t>登录</w:t>
      </w:r>
      <w:r>
        <w:rPr>
          <w:rFonts w:hint="eastAsia"/>
          <w:sz w:val="28"/>
          <w:szCs w:val="32"/>
          <w:lang w:val="en-US" w:eastAsia="zh-CN"/>
        </w:rPr>
        <w:t>”</w:t>
      </w:r>
    </w:p>
    <w:p>
      <w:pPr>
        <w:numPr>
          <w:ilvl w:val="0"/>
          <w:numId w:val="0"/>
        </w:numPr>
      </w:pPr>
      <w:r>
        <w:drawing>
          <wp:inline distT="0" distB="0" distL="114300" distR="114300">
            <wp:extent cx="5273040" cy="2955290"/>
            <wp:effectExtent l="9525" t="9525" r="13335" b="260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5273040" cy="2955290"/>
                    </a:xfrm>
                    <a:prstGeom prst="rect">
                      <a:avLst/>
                    </a:prstGeom>
                    <a:noFill/>
                    <a:ln w="9525">
                      <a:solidFill>
                        <a:schemeClr val="tx1"/>
                      </a:solidFill>
                    </a:ln>
                  </pic:spPr>
                </pic:pic>
              </a:graphicData>
            </a:graphic>
          </wp:inline>
        </w:drawing>
      </w:r>
    </w:p>
    <w:p>
      <w:pPr>
        <w:numPr>
          <w:ilvl w:val="0"/>
          <w:numId w:val="0"/>
        </w:numPr>
        <w:rPr>
          <w:rFonts w:hint="eastAsia" w:eastAsia="宋体"/>
          <w:sz w:val="28"/>
          <w:szCs w:val="32"/>
          <w:lang w:val="en-US" w:eastAsia="zh-CN"/>
        </w:rPr>
      </w:pPr>
    </w:p>
    <w:p>
      <w:pPr>
        <w:numPr>
          <w:ilvl w:val="0"/>
          <w:numId w:val="0"/>
        </w:numPr>
        <w:rPr>
          <w:rFonts w:hint="eastAsia" w:eastAsia="宋体"/>
          <w:lang w:val="en-US" w:eastAsia="zh-CN"/>
        </w:rPr>
      </w:pPr>
      <w:r>
        <w:rPr>
          <w:rFonts w:hint="eastAsia"/>
          <w:sz w:val="28"/>
          <w:szCs w:val="32"/>
          <w:lang w:val="en-US" w:eastAsia="zh-Hans"/>
        </w:rPr>
        <w:t>常见登录方法：</w:t>
      </w:r>
    </w:p>
    <w:p>
      <w:pPr>
        <w:numPr>
          <w:ilvl w:val="0"/>
          <w:numId w:val="1"/>
        </w:numPr>
        <w:rPr>
          <w:rFonts w:hint="eastAsia"/>
          <w:sz w:val="28"/>
          <w:szCs w:val="32"/>
          <w:lang w:val="en-US" w:eastAsia="zh-Hans"/>
        </w:rPr>
      </w:pPr>
      <w:r>
        <w:rPr>
          <w:rFonts w:hint="eastAsia"/>
          <w:sz w:val="28"/>
          <w:szCs w:val="32"/>
          <w:lang w:val="en-US" w:eastAsia="zh-Hans"/>
        </w:rPr>
        <w:t>采用“吉事办”</w:t>
      </w:r>
      <w:r>
        <w:rPr>
          <w:rFonts w:hint="default"/>
          <w:sz w:val="28"/>
          <w:szCs w:val="32"/>
          <w:lang w:eastAsia="zh-Hans"/>
        </w:rPr>
        <w:t>APP</w:t>
      </w:r>
      <w:r>
        <w:rPr>
          <w:rFonts w:hint="eastAsia"/>
          <w:sz w:val="28"/>
          <w:szCs w:val="32"/>
          <w:lang w:val="en-US" w:eastAsia="zh-Hans"/>
        </w:rPr>
        <w:t>扫码登录</w:t>
      </w:r>
    </w:p>
    <w:p>
      <w:pPr>
        <w:numPr>
          <w:ilvl w:val="0"/>
          <w:numId w:val="1"/>
        </w:numPr>
        <w:rPr>
          <w:rFonts w:hint="eastAsia"/>
          <w:sz w:val="28"/>
          <w:szCs w:val="32"/>
          <w:lang w:eastAsia="zh-CN"/>
        </w:rPr>
      </w:pPr>
      <w:r>
        <w:rPr>
          <w:rFonts w:hint="eastAsia"/>
          <w:sz w:val="28"/>
          <w:szCs w:val="32"/>
          <w:lang w:val="en-US" w:eastAsia="zh-Hans"/>
        </w:rPr>
        <w:t>输入账号、密码、验证码登录</w:t>
      </w:r>
    </w:p>
    <w:p>
      <w:pPr>
        <w:numPr>
          <w:ilvl w:val="0"/>
          <w:numId w:val="0"/>
        </w:numPr>
      </w:pPr>
      <w:r>
        <w:drawing>
          <wp:inline distT="0" distB="0" distL="114300" distR="114300">
            <wp:extent cx="2554605" cy="1885950"/>
            <wp:effectExtent l="9525" t="9525" r="13970" b="952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4"/>
                    <a:stretch>
                      <a:fillRect/>
                    </a:stretch>
                  </pic:blipFill>
                  <pic:spPr>
                    <a:xfrm>
                      <a:off x="0" y="0"/>
                      <a:ext cx="2554605" cy="1885950"/>
                    </a:xfrm>
                    <a:prstGeom prst="rect">
                      <a:avLst/>
                    </a:prstGeom>
                    <a:noFill/>
                    <a:ln w="9525">
                      <a:solidFill>
                        <a:schemeClr val="tx1"/>
                      </a:solidFill>
                    </a:ln>
                  </pic:spPr>
                </pic:pic>
              </a:graphicData>
            </a:graphic>
          </wp:inline>
        </w:drawing>
      </w:r>
      <w:r>
        <w:t xml:space="preserve"> </w:t>
      </w:r>
      <w:r>
        <w:drawing>
          <wp:inline distT="0" distB="0" distL="114300" distR="114300">
            <wp:extent cx="2483485" cy="1863090"/>
            <wp:effectExtent l="9525" t="9525" r="21590" b="1968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5"/>
                    <a:stretch>
                      <a:fillRect/>
                    </a:stretch>
                  </pic:blipFill>
                  <pic:spPr>
                    <a:xfrm>
                      <a:off x="0" y="0"/>
                      <a:ext cx="2483485" cy="1863090"/>
                    </a:xfrm>
                    <a:prstGeom prst="rect">
                      <a:avLst/>
                    </a:prstGeom>
                    <a:noFill/>
                    <a:ln w="9525">
                      <a:solidFill>
                        <a:schemeClr val="tx1"/>
                      </a:solidFill>
                    </a:ln>
                  </pic:spPr>
                </pic:pic>
              </a:graphicData>
            </a:graphic>
          </wp:inline>
        </w:drawing>
      </w:r>
    </w:p>
    <w:p>
      <w:pPr>
        <w:widowControl/>
        <w:ind w:left="0" w:leftChars="0" w:firstLine="0" w:firstLineChars="0"/>
        <w:jc w:val="both"/>
        <w:rPr>
          <w:rFonts w:hint="eastAsia" w:ascii="宋体" w:hAnsi="宋体" w:eastAsia="宋体"/>
          <w:sz w:val="28"/>
          <w:szCs w:val="32"/>
          <w:lang w:val="en-US" w:eastAsia="zh-CN"/>
        </w:rPr>
      </w:pPr>
      <w:r>
        <w:rPr>
          <w:rFonts w:hint="eastAsia" w:ascii="宋体" w:hAnsi="宋体" w:eastAsia="宋体"/>
          <w:sz w:val="28"/>
          <w:szCs w:val="32"/>
          <w:lang w:val="en-US" w:eastAsia="zh-CN"/>
        </w:rPr>
        <w:t>下滑至继续教育培训板块，</w:t>
      </w:r>
      <w:r>
        <w:rPr>
          <w:rFonts w:hint="eastAsia"/>
          <w:sz w:val="28"/>
          <w:szCs w:val="32"/>
          <w:lang w:val="en-US" w:eastAsia="zh-CN"/>
        </w:rPr>
        <w:t>选择吉林省农业科学院进入培训平台</w:t>
      </w:r>
      <w:r>
        <w:rPr>
          <w:rFonts w:hint="eastAsia" w:ascii="宋体" w:hAnsi="宋体" w:eastAsia="宋体"/>
          <w:sz w:val="28"/>
          <w:szCs w:val="32"/>
          <w:lang w:val="en-US" w:eastAsia="zh-CN"/>
        </w:rPr>
        <w:t>。</w:t>
      </w:r>
    </w:p>
    <w:p>
      <w:pPr>
        <w:widowControl/>
        <w:ind w:left="0" w:leftChars="0" w:firstLine="0" w:firstLineChars="0"/>
        <w:jc w:val="both"/>
        <w:sectPr>
          <w:footerReference r:id="rId11" w:type="default"/>
          <w:pgSz w:w="11906" w:h="16838"/>
          <w:pgMar w:top="1440" w:right="1800" w:bottom="1440" w:left="1800" w:header="851" w:footer="992" w:gutter="0"/>
          <w:pgNumType w:fmt="decimal" w:start="1"/>
          <w:cols w:space="425" w:num="1"/>
          <w:docGrid w:type="lines" w:linePitch="312" w:charSpace="0"/>
        </w:sectPr>
      </w:pPr>
      <w:r>
        <w:drawing>
          <wp:inline distT="0" distB="0" distL="114300" distR="114300">
            <wp:extent cx="5269865" cy="3070225"/>
            <wp:effectExtent l="9525" t="9525" r="16510" b="254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5269865" cy="3070225"/>
                    </a:xfrm>
                    <a:prstGeom prst="rect">
                      <a:avLst/>
                    </a:prstGeom>
                    <a:noFill/>
                    <a:ln>
                      <a:solidFill>
                        <a:schemeClr val="tx1"/>
                      </a:solidFill>
                    </a:ln>
                  </pic:spPr>
                </pic:pic>
              </a:graphicData>
            </a:graphic>
          </wp:inline>
        </w:drawing>
      </w:r>
    </w:p>
    <w:p>
      <w:pPr>
        <w:numPr>
          <w:ilvl w:val="0"/>
          <w:numId w:val="0"/>
        </w:numPr>
        <w:rPr>
          <w:rFonts w:hint="eastAsia"/>
          <w:b/>
          <w:bCs/>
          <w:sz w:val="28"/>
          <w:szCs w:val="28"/>
          <w:lang w:val="en-US" w:eastAsia="zh-CN"/>
        </w:rPr>
      </w:pPr>
      <w:r>
        <w:rPr>
          <w:rFonts w:hint="eastAsia"/>
          <w:b/>
          <w:bCs/>
          <w:sz w:val="28"/>
          <w:szCs w:val="28"/>
          <w:lang w:val="en-US" w:eastAsia="zh-CN"/>
        </w:rPr>
        <w:t>2、通过培训平台“吉林省农业科学院”直接进入：</w:t>
      </w:r>
    </w:p>
    <w:p>
      <w:pPr>
        <w:numPr>
          <w:ilvl w:val="0"/>
          <w:numId w:val="0"/>
        </w:numPr>
        <w:rPr>
          <w:rFonts w:hint="eastAsia"/>
          <w:sz w:val="28"/>
          <w:szCs w:val="28"/>
          <w:lang w:val="en-US" w:eastAsia="zh-CN"/>
        </w:rPr>
      </w:pPr>
      <w:r>
        <w:rPr>
          <w:rFonts w:hint="eastAsia"/>
          <w:sz w:val="28"/>
          <w:szCs w:val="28"/>
          <w:lang w:val="en-US" w:eastAsia="zh-CN"/>
        </w:rPr>
        <w:t>打开吉林省农业科学院学习网址：</w:t>
      </w:r>
      <w:r>
        <w:rPr>
          <w:rFonts w:hint="eastAsia"/>
          <w:sz w:val="28"/>
          <w:szCs w:val="28"/>
          <w:lang w:val="en-US" w:eastAsia="zh-CN"/>
        </w:rPr>
        <w:fldChar w:fldCharType="begin"/>
      </w:r>
      <w:r>
        <w:rPr>
          <w:rFonts w:hint="eastAsia"/>
          <w:sz w:val="28"/>
          <w:szCs w:val="28"/>
          <w:lang w:val="en-US" w:eastAsia="zh-CN"/>
        </w:rPr>
        <w:instrText xml:space="preserve"> HYPERLINK "http://jlnky.lllnet.cn/，" </w:instrText>
      </w:r>
      <w:r>
        <w:rPr>
          <w:rFonts w:hint="eastAsia"/>
          <w:sz w:val="28"/>
          <w:szCs w:val="28"/>
          <w:lang w:val="en-US" w:eastAsia="zh-CN"/>
        </w:rPr>
        <w:fldChar w:fldCharType="separate"/>
      </w:r>
      <w:r>
        <w:rPr>
          <w:rFonts w:hint="eastAsia"/>
          <w:sz w:val="28"/>
          <w:szCs w:val="28"/>
          <w:lang w:val="en-US" w:eastAsia="zh-CN"/>
        </w:rPr>
        <w:t>http://jlnky.lllnet.cn/，点击首页右侧【立即登录】，使用“吉事办”APP扫码登录，或者使用吉林省统一身份认证平台账号、密码、验证码登录。</w:t>
      </w:r>
    </w:p>
    <w:p>
      <w:pPr>
        <w:numPr>
          <w:ilvl w:val="0"/>
          <w:numId w:val="0"/>
        </w:numPr>
        <w:rPr>
          <w:rFonts w:hint="eastAsia" w:eastAsia="宋体"/>
          <w:lang w:eastAsia="zh-CN"/>
        </w:rPr>
      </w:pPr>
      <w:r>
        <w:rPr>
          <w:rFonts w:hint="eastAsia"/>
          <w:sz w:val="28"/>
          <w:szCs w:val="28"/>
          <w:lang w:val="en-US" w:eastAsia="zh-CN"/>
        </w:rPr>
        <w:fldChar w:fldCharType="end"/>
      </w:r>
      <w:r>
        <w:drawing>
          <wp:inline distT="0" distB="0" distL="114300" distR="114300">
            <wp:extent cx="5266690" cy="2971165"/>
            <wp:effectExtent l="9525" t="9525" r="19685"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5266690" cy="2971165"/>
                    </a:xfrm>
                    <a:prstGeom prst="rect">
                      <a:avLst/>
                    </a:prstGeom>
                    <a:noFill/>
                    <a:ln>
                      <a:solidFill>
                        <a:schemeClr val="tx1"/>
                      </a:solidFill>
                    </a:ln>
                  </pic:spPr>
                </pic:pic>
              </a:graphicData>
            </a:graphic>
          </wp:inline>
        </w:drawing>
      </w:r>
    </w:p>
    <w:p>
      <w:pPr>
        <w:numPr>
          <w:ilvl w:val="0"/>
          <w:numId w:val="0"/>
        </w:numPr>
      </w:pPr>
      <w:r>
        <w:drawing>
          <wp:inline distT="0" distB="0" distL="114300" distR="114300">
            <wp:extent cx="2554605" cy="1885950"/>
            <wp:effectExtent l="9525" t="9525" r="26670"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4"/>
                    <a:stretch>
                      <a:fillRect/>
                    </a:stretch>
                  </pic:blipFill>
                  <pic:spPr>
                    <a:xfrm>
                      <a:off x="0" y="0"/>
                      <a:ext cx="2554605" cy="1885950"/>
                    </a:xfrm>
                    <a:prstGeom prst="rect">
                      <a:avLst/>
                    </a:prstGeom>
                    <a:noFill/>
                    <a:ln w="9525">
                      <a:solidFill>
                        <a:schemeClr val="tx1"/>
                      </a:solidFill>
                    </a:ln>
                  </pic:spPr>
                </pic:pic>
              </a:graphicData>
            </a:graphic>
          </wp:inline>
        </w:drawing>
      </w:r>
      <w:r>
        <w:t xml:space="preserve"> </w:t>
      </w:r>
      <w:r>
        <w:rPr>
          <w:rFonts w:hint="eastAsia"/>
          <w:lang w:val="en-US" w:eastAsia="zh-CN"/>
        </w:rPr>
        <w:t xml:space="preserve"> </w:t>
      </w:r>
      <w:r>
        <w:drawing>
          <wp:inline distT="0" distB="0" distL="114300" distR="114300">
            <wp:extent cx="2483485" cy="1863090"/>
            <wp:effectExtent l="9525" t="9525" r="21590" b="1333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5"/>
                    <a:stretch>
                      <a:fillRect/>
                    </a:stretch>
                  </pic:blipFill>
                  <pic:spPr>
                    <a:xfrm>
                      <a:off x="0" y="0"/>
                      <a:ext cx="2483485" cy="1863090"/>
                    </a:xfrm>
                    <a:prstGeom prst="rect">
                      <a:avLst/>
                    </a:prstGeom>
                    <a:noFill/>
                    <a:ln w="9525">
                      <a:solidFill>
                        <a:schemeClr val="tx1"/>
                      </a:solidFill>
                    </a:ln>
                  </pic:spPr>
                </pic:pic>
              </a:graphicData>
            </a:graphic>
          </wp:inline>
        </w:drawing>
      </w:r>
    </w:p>
    <w:p>
      <w:pPr>
        <w:widowControl/>
        <w:ind w:left="0" w:leftChars="0" w:firstLine="0" w:firstLineChars="0"/>
        <w:jc w:val="both"/>
        <w:rPr>
          <w:rFonts w:hint="default"/>
          <w:lang w:val="en-US" w:eastAsia="zh-CN"/>
        </w:rPr>
        <w:sectPr>
          <w:pgSz w:w="11906" w:h="16838"/>
          <w:pgMar w:top="1440" w:right="1800" w:bottom="1440" w:left="1800" w:header="851" w:footer="992" w:gutter="0"/>
          <w:pgNumType w:fmt="decimal" w:start="1"/>
          <w:cols w:space="425" w:num="1"/>
          <w:docGrid w:type="lines" w:linePitch="312" w:charSpace="0"/>
        </w:sectPr>
      </w:pPr>
    </w:p>
    <w:p>
      <w:pPr>
        <w:widowControl/>
        <w:ind w:left="0" w:leftChars="0" w:firstLine="0" w:firstLineChars="0"/>
        <w:jc w:val="both"/>
        <w:rPr>
          <w:rFonts w:hint="eastAsia"/>
          <w:b/>
          <w:bCs/>
          <w:sz w:val="32"/>
          <w:szCs w:val="32"/>
          <w:lang w:val="en-US" w:eastAsia="zh-CN"/>
        </w:rPr>
      </w:pPr>
      <w:r>
        <w:rPr>
          <w:rFonts w:hint="eastAsia"/>
          <w:b/>
          <w:bCs/>
          <w:sz w:val="32"/>
          <w:szCs w:val="32"/>
          <w:lang w:val="en-US" w:eastAsia="zh-CN"/>
        </w:rPr>
        <w:t>二、选择课程</w:t>
      </w:r>
    </w:p>
    <w:p>
      <w:pPr>
        <w:widowControl/>
        <w:ind w:left="0" w:leftChars="0" w:firstLine="0" w:firstLineChars="0"/>
        <w:jc w:val="both"/>
        <w:rPr>
          <w:rFonts w:hint="eastAsia"/>
          <w:sz w:val="28"/>
          <w:szCs w:val="28"/>
          <w:lang w:val="en-US" w:eastAsia="zh-CN"/>
        </w:rPr>
      </w:pPr>
      <w:r>
        <w:rPr>
          <w:rFonts w:hint="eastAsia"/>
          <w:sz w:val="28"/>
          <w:szCs w:val="28"/>
          <w:lang w:val="en-US" w:eastAsia="zh-CN"/>
        </w:rPr>
        <w:t>单位已为学员统一购买抵扣券，登录后进入【培训广场】页面，公需课免费学习，学员可直接进入学习；专业课请学员选择相应的课程分类后，点击课程右侧的【选择课程】按钮后，在页面右下方点击【抵扣券购买】进入订单页面。点击【提交购买】即可开通课程，无需实际支付费用。</w:t>
      </w:r>
    </w:p>
    <w:p>
      <w:pPr>
        <w:widowControl/>
        <w:ind w:left="0" w:leftChars="0" w:firstLine="0" w:firstLineChars="0"/>
        <w:jc w:val="both"/>
        <w:rPr>
          <w:rFonts w:hint="eastAsia"/>
          <w:color w:val="FF0000"/>
          <w:sz w:val="28"/>
          <w:szCs w:val="28"/>
          <w:lang w:val="en-US" w:eastAsia="zh-CN"/>
        </w:rPr>
      </w:pPr>
      <w:r>
        <w:rPr>
          <w:rFonts w:hint="eastAsia"/>
          <w:color w:val="FF0000"/>
          <w:sz w:val="28"/>
          <w:szCs w:val="28"/>
          <w:lang w:val="en-US" w:eastAsia="zh-CN"/>
        </w:rPr>
        <w:t>抵扣券有效期与课程培训时间相同，本年度培训时间截至到2024年12月31日，请及时使用抵扣券并完成课程学习。</w:t>
      </w:r>
    </w:p>
    <w:p>
      <w:pPr>
        <w:widowControl/>
        <w:ind w:left="0" w:leftChars="0" w:firstLine="0" w:firstLineChars="0"/>
        <w:jc w:val="both"/>
        <w:sectPr>
          <w:pgSz w:w="11906" w:h="16838"/>
          <w:pgMar w:top="1440" w:right="1800" w:bottom="1440" w:left="1800" w:header="851" w:footer="992" w:gutter="0"/>
          <w:pgNumType w:fmt="decimal" w:start="1"/>
          <w:cols w:space="425" w:num="1"/>
          <w:docGrid w:type="lines" w:linePitch="312" w:charSpace="0"/>
        </w:sectPr>
      </w:pPr>
      <w:r>
        <w:drawing>
          <wp:inline distT="0" distB="0" distL="114300" distR="114300">
            <wp:extent cx="5267325" cy="3599815"/>
            <wp:effectExtent l="0" t="0" r="952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267325" cy="3599815"/>
                    </a:xfrm>
                    <a:prstGeom prst="rect">
                      <a:avLst/>
                    </a:prstGeom>
                    <a:noFill/>
                    <a:ln>
                      <a:noFill/>
                    </a:ln>
                  </pic:spPr>
                </pic:pic>
              </a:graphicData>
            </a:graphic>
          </wp:inline>
        </w:drawing>
      </w:r>
      <w:r>
        <w:drawing>
          <wp:inline distT="0" distB="0" distL="114300" distR="114300">
            <wp:extent cx="5263515" cy="2092960"/>
            <wp:effectExtent l="0" t="0" r="13335"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5263515" cy="2092960"/>
                    </a:xfrm>
                    <a:prstGeom prst="rect">
                      <a:avLst/>
                    </a:prstGeom>
                    <a:noFill/>
                    <a:ln>
                      <a:noFill/>
                    </a:ln>
                  </pic:spPr>
                </pic:pic>
              </a:graphicData>
            </a:graphic>
          </wp:inline>
        </w:drawing>
      </w:r>
    </w:p>
    <w:p>
      <w:pPr>
        <w:ind w:left="0" w:leftChars="0" w:firstLine="0" w:firstLineChars="0"/>
        <w:rPr>
          <w:rFonts w:hint="eastAsia"/>
          <w:b/>
          <w:bCs/>
          <w:sz w:val="32"/>
          <w:szCs w:val="32"/>
          <w:lang w:val="en-US" w:eastAsia="zh-CN"/>
        </w:rPr>
      </w:pPr>
      <w:r>
        <w:rPr>
          <w:rFonts w:hint="eastAsia"/>
          <w:b/>
          <w:bCs/>
          <w:sz w:val="32"/>
          <w:szCs w:val="32"/>
          <w:lang w:val="en-US" w:eastAsia="zh-CN"/>
        </w:rPr>
        <w:t>三、课程学习</w:t>
      </w:r>
    </w:p>
    <w:p>
      <w:pPr>
        <w:ind w:left="0" w:leftChars="0" w:firstLine="0" w:firstLineChars="0"/>
        <w:rPr>
          <w:rFonts w:hint="eastAsia"/>
          <w:sz w:val="28"/>
          <w:szCs w:val="28"/>
          <w:lang w:val="en-US" w:eastAsia="zh-CN"/>
        </w:rPr>
      </w:pPr>
      <w:r>
        <w:rPr>
          <w:rFonts w:hint="eastAsia"/>
          <w:sz w:val="28"/>
          <w:szCs w:val="28"/>
          <w:lang w:val="en-US" w:eastAsia="zh-CN"/>
        </w:rPr>
        <w:t>（1）成功选择所选课程后，点击【个人中心】-【我的培训】-【开始学习】进入到课程学习页面。</w:t>
      </w:r>
    </w:p>
    <w:p>
      <w:pPr>
        <w:ind w:left="0" w:leftChars="0" w:firstLine="0" w:firstLineChars="0"/>
        <w:rPr>
          <w:rFonts w:hint="eastAsia" w:eastAsia="宋体"/>
          <w:lang w:eastAsia="zh-CN"/>
        </w:rPr>
      </w:pPr>
      <w:r>
        <w:drawing>
          <wp:inline distT="0" distB="0" distL="114300" distR="114300">
            <wp:extent cx="5268595" cy="2295525"/>
            <wp:effectExtent l="0" t="0" r="8255"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5268595" cy="2295525"/>
                    </a:xfrm>
                    <a:prstGeom prst="rect">
                      <a:avLst/>
                    </a:prstGeom>
                    <a:noFill/>
                    <a:ln>
                      <a:noFill/>
                    </a:ln>
                  </pic:spPr>
                </pic:pic>
              </a:graphicData>
            </a:graphic>
          </wp:inline>
        </w:drawing>
      </w:r>
    </w:p>
    <w:p>
      <w:pPr>
        <w:ind w:left="0" w:leftChars="0" w:firstLine="0" w:firstLineChars="0"/>
        <w:rPr>
          <w:sz w:val="28"/>
          <w:szCs w:val="28"/>
        </w:rPr>
      </w:pPr>
      <w:r>
        <w:rPr>
          <w:rFonts w:hint="eastAsia"/>
          <w:sz w:val="28"/>
          <w:szCs w:val="28"/>
        </w:rPr>
        <w:t>（2）课程学习页面主要包括【课程学习进度】【课程学习】【在线考试】【结业】，每个课件都对应有进度和【获取进度】按钮，方便学员时时查询自己的学习进度，点击【开始学习】进入播放页面。</w:t>
      </w:r>
    </w:p>
    <w:p>
      <w:pPr>
        <w:widowControl/>
        <w:ind w:left="0" w:leftChars="0" w:firstLine="0" w:firstLineChars="0"/>
        <w:jc w:val="both"/>
      </w:pPr>
      <w:r>
        <w:drawing>
          <wp:inline distT="0" distB="0" distL="114300" distR="114300">
            <wp:extent cx="5266055" cy="2632710"/>
            <wp:effectExtent l="0" t="0" r="10795" b="1524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1"/>
                    <a:stretch>
                      <a:fillRect/>
                    </a:stretch>
                  </pic:blipFill>
                  <pic:spPr>
                    <a:xfrm>
                      <a:off x="0" y="0"/>
                      <a:ext cx="5266055" cy="2632710"/>
                    </a:xfrm>
                    <a:prstGeom prst="rect">
                      <a:avLst/>
                    </a:prstGeom>
                    <a:noFill/>
                    <a:ln>
                      <a:noFill/>
                    </a:ln>
                  </pic:spPr>
                </pic:pic>
              </a:graphicData>
            </a:graphic>
          </wp:inline>
        </w:drawing>
      </w:r>
    </w:p>
    <w:p>
      <w:pPr>
        <w:ind w:left="0" w:leftChars="0" w:firstLine="0" w:firstLineChars="0"/>
        <w:rPr>
          <w:rFonts w:hint="eastAsia" w:eastAsiaTheme="minorEastAsia"/>
          <w:sz w:val="28"/>
          <w:szCs w:val="28"/>
          <w:lang w:eastAsia="zh-CN"/>
        </w:rPr>
      </w:pPr>
      <w:r>
        <w:rPr>
          <w:rFonts w:hint="eastAsia"/>
          <w:sz w:val="28"/>
          <w:szCs w:val="28"/>
        </w:rPr>
        <w:t>（3）课程播放页面左侧是播放窗口，右侧依次是课程标题，课程目录和讲师简介，其中课程目录包含课程所有的课件，学员可以顺序学习。</w:t>
      </w:r>
    </w:p>
    <w:p>
      <w:pPr>
        <w:widowControl/>
        <w:ind w:left="0" w:leftChars="0" w:firstLine="0" w:firstLineChars="0"/>
        <w:jc w:val="both"/>
        <w:rPr>
          <w:rFonts w:hint="eastAsia" w:eastAsia="宋体"/>
          <w:lang w:eastAsia="zh-CN"/>
        </w:rPr>
      </w:pPr>
    </w:p>
    <w:p>
      <w:pPr>
        <w:widowControl/>
        <w:ind w:left="0" w:leftChars="0" w:firstLine="0" w:firstLineChars="0"/>
        <w:jc w:val="both"/>
        <w:sectPr>
          <w:pgSz w:w="11906" w:h="16838"/>
          <w:pgMar w:top="1440" w:right="1800" w:bottom="1440" w:left="1800" w:header="851" w:footer="992" w:gutter="0"/>
          <w:pgNumType w:fmt="decimal" w:start="1"/>
          <w:cols w:space="425" w:num="1"/>
          <w:docGrid w:type="lines" w:linePitch="312" w:charSpace="0"/>
        </w:sectPr>
      </w:pPr>
      <w:r>
        <w:drawing>
          <wp:inline distT="0" distB="0" distL="114300" distR="114300">
            <wp:extent cx="5257800" cy="2519680"/>
            <wp:effectExtent l="9525" t="9525" r="9525" b="2349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2"/>
                    <a:stretch>
                      <a:fillRect/>
                    </a:stretch>
                  </pic:blipFill>
                  <pic:spPr>
                    <a:xfrm>
                      <a:off x="0" y="0"/>
                      <a:ext cx="5257800" cy="2519680"/>
                    </a:xfrm>
                    <a:prstGeom prst="rect">
                      <a:avLst/>
                    </a:prstGeom>
                    <a:noFill/>
                    <a:ln>
                      <a:solidFill>
                        <a:schemeClr val="tx1"/>
                      </a:solidFill>
                    </a:ln>
                  </pic:spPr>
                </pic:pic>
              </a:graphicData>
            </a:graphic>
          </wp:inline>
        </w:drawing>
      </w:r>
    </w:p>
    <w:p>
      <w:pPr>
        <w:ind w:left="0" w:leftChars="0" w:firstLine="0" w:firstLineChars="0"/>
        <w:rPr>
          <w:rFonts w:hint="eastAsia"/>
          <w:b/>
          <w:bCs/>
          <w:color w:val="auto"/>
          <w:sz w:val="32"/>
          <w:szCs w:val="32"/>
          <w:lang w:val="en-US" w:eastAsia="zh-CN"/>
        </w:rPr>
      </w:pPr>
      <w:r>
        <w:rPr>
          <w:rFonts w:hint="eastAsia"/>
          <w:b/>
          <w:bCs/>
          <w:color w:val="auto"/>
          <w:sz w:val="32"/>
          <w:szCs w:val="32"/>
          <w:lang w:val="en-US" w:eastAsia="zh-CN"/>
        </w:rPr>
        <w:t>四、公需课考试</w:t>
      </w:r>
    </w:p>
    <w:p>
      <w:pPr>
        <w:ind w:left="0" w:leftChars="0" w:firstLine="0" w:firstLineChars="0"/>
        <w:rPr>
          <w:rFonts w:hint="eastAsia"/>
          <w:b w:val="0"/>
          <w:bCs w:val="0"/>
          <w:color w:val="FF0000"/>
          <w:sz w:val="28"/>
          <w:szCs w:val="28"/>
          <w:lang w:val="en-US" w:eastAsia="zh-CN"/>
        </w:rPr>
      </w:pPr>
      <w:r>
        <w:rPr>
          <w:rFonts w:hint="eastAsia"/>
          <w:b w:val="0"/>
          <w:bCs w:val="0"/>
          <w:color w:val="FF0000"/>
          <w:sz w:val="28"/>
          <w:szCs w:val="28"/>
          <w:lang w:val="en-US" w:eastAsia="zh-CN"/>
        </w:rPr>
        <w:t>（1）2024年已取消公需课考试，2024年度所有课程不设置考试，课程前程即可</w:t>
      </w:r>
      <w:r>
        <w:rPr>
          <w:rFonts w:hint="eastAsia"/>
          <w:b w:val="0"/>
          <w:bCs w:val="0"/>
          <w:color w:val="FF0000"/>
          <w:sz w:val="28"/>
          <w:szCs w:val="28"/>
          <w:lang w:val="en-US" w:eastAsia="zh-CN"/>
        </w:rPr>
        <w:t>。</w:t>
      </w:r>
    </w:p>
    <w:p>
      <w:pPr>
        <w:ind w:left="0" w:leftChars="0" w:firstLine="0" w:firstLineChars="0"/>
        <w:rPr>
          <w:rFonts w:hint="eastAsia" w:eastAsia="宋体"/>
          <w:lang w:eastAsia="zh-CN"/>
        </w:rPr>
      </w:pPr>
    </w:p>
    <w:p>
      <w:pPr>
        <w:ind w:left="0" w:leftChars="0" w:firstLine="0" w:firstLineChars="0"/>
        <w:rPr>
          <w:rFonts w:hint="default" w:eastAsia="宋体"/>
          <w:lang w:val="en-US" w:eastAsia="zh-CN"/>
        </w:rPr>
        <w:sectPr>
          <w:pgSz w:w="11906" w:h="16838"/>
          <w:pgMar w:top="1440" w:right="1800" w:bottom="1440" w:left="1800" w:header="851" w:footer="992" w:gutter="0"/>
          <w:pgNumType w:fmt="decimal" w:start="1"/>
          <w:cols w:space="425" w:num="1"/>
          <w:docGrid w:type="lines" w:linePitch="312" w:charSpace="0"/>
        </w:sectPr>
      </w:pPr>
    </w:p>
    <w:p>
      <w:pPr>
        <w:ind w:left="0" w:leftChars="0" w:firstLine="0" w:firstLineChars="0"/>
        <w:rPr>
          <w:rFonts w:hint="eastAsia"/>
          <w:b/>
          <w:bCs/>
          <w:sz w:val="32"/>
          <w:szCs w:val="32"/>
          <w:lang w:val="en-US" w:eastAsia="zh-CN"/>
        </w:rPr>
      </w:pPr>
      <w:r>
        <w:rPr>
          <w:rFonts w:hint="eastAsia"/>
          <w:b/>
          <w:bCs/>
          <w:sz w:val="32"/>
          <w:szCs w:val="32"/>
          <w:lang w:val="en-US" w:eastAsia="zh-CN"/>
        </w:rPr>
        <w:t>五、课程结业</w:t>
      </w:r>
    </w:p>
    <w:p>
      <w:pPr>
        <w:ind w:left="0" w:leftChars="0" w:firstLine="0" w:firstLineChars="0"/>
        <w:rPr>
          <w:rFonts w:hint="eastAsia"/>
          <w:sz w:val="28"/>
          <w:szCs w:val="28"/>
          <w:lang w:val="en-US" w:eastAsia="zh-CN"/>
        </w:rPr>
      </w:pPr>
      <w:r>
        <w:rPr>
          <w:rFonts w:hint="eastAsia"/>
          <w:sz w:val="28"/>
          <w:szCs w:val="28"/>
          <w:lang w:val="en-US" w:eastAsia="zh-CN"/>
        </w:rPr>
        <w:t>课程学习完成大概1-2小时后至吉林省专业技术人员继续教育公共服务平台查询该课程相应学分。查询路径如下方截图，达到结业条件后至公共服务平台查询打印证书。</w:t>
      </w:r>
    </w:p>
    <w:p>
      <w:pPr>
        <w:ind w:left="0" w:leftChars="0" w:firstLine="0" w:firstLineChars="0"/>
        <w:rPr>
          <w:rFonts w:hint="eastAsia"/>
          <w:b/>
          <w:bCs/>
          <w:sz w:val="28"/>
          <w:szCs w:val="28"/>
          <w:lang w:val="en-US" w:eastAsia="zh-CN"/>
        </w:rPr>
      </w:pPr>
      <w:r>
        <w:rPr>
          <w:rFonts w:hint="eastAsia"/>
          <w:b/>
          <w:bCs/>
          <w:sz w:val="28"/>
          <w:szCs w:val="28"/>
          <w:lang w:val="en-US" w:eastAsia="zh-CN"/>
        </w:rPr>
        <w:t>结业条件：每年累计应不少于90学时，其中公需课不少于30学时，专业课不少于60学时</w:t>
      </w:r>
    </w:p>
    <w:p>
      <w:pPr>
        <w:ind w:left="0" w:leftChars="0" w:firstLine="0" w:firstLineChars="0"/>
        <w:rPr>
          <w:rFonts w:hint="eastAsia" w:eastAsia="宋体"/>
          <w:lang w:eastAsia="zh-CN"/>
        </w:rPr>
      </w:pPr>
      <w:r>
        <w:drawing>
          <wp:inline distT="0" distB="0" distL="114300" distR="114300">
            <wp:extent cx="5267960" cy="1356995"/>
            <wp:effectExtent l="9525" t="9525" r="18415" b="241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5267960" cy="1356995"/>
                    </a:xfrm>
                    <a:prstGeom prst="rect">
                      <a:avLst/>
                    </a:prstGeom>
                    <a:noFill/>
                    <a:ln w="9525">
                      <a:solidFill>
                        <a:schemeClr val="tx1"/>
                      </a:solidFill>
                    </a:ln>
                  </pic:spPr>
                </pic:pic>
              </a:graphicData>
            </a:graphic>
          </wp:inline>
        </w:drawing>
      </w:r>
    </w:p>
    <w:p>
      <w:pPr>
        <w:ind w:left="0" w:leftChars="0" w:firstLine="0" w:firstLineChars="0"/>
      </w:pPr>
      <w:r>
        <w:drawing>
          <wp:inline distT="0" distB="0" distL="114300" distR="114300">
            <wp:extent cx="5271135" cy="1484630"/>
            <wp:effectExtent l="9525" t="9525" r="15240"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4"/>
                    <a:srcRect t="848"/>
                    <a:stretch>
                      <a:fillRect/>
                    </a:stretch>
                  </pic:blipFill>
                  <pic:spPr>
                    <a:xfrm>
                      <a:off x="0" y="0"/>
                      <a:ext cx="5271135" cy="1484630"/>
                    </a:xfrm>
                    <a:prstGeom prst="rect">
                      <a:avLst/>
                    </a:prstGeom>
                    <a:noFill/>
                    <a:ln w="9525">
                      <a:solidFill>
                        <a:schemeClr val="tx1"/>
                      </a:solidFill>
                    </a:ln>
                  </pic:spPr>
                </pic:pic>
              </a:graphicData>
            </a:graphic>
          </wp:inline>
        </w:drawing>
      </w:r>
    </w:p>
    <w:p/>
    <w:p/>
    <w:p/>
    <w:p>
      <w:pPr>
        <w:rPr>
          <w:rFonts w:hint="eastAsia" w:eastAsia="宋体" w:asciiTheme="minorEastAsia" w:hAnsiTheme="minorEastAsia"/>
          <w:sz w:val="28"/>
          <w:szCs w:val="28"/>
          <w:lang w:eastAsia="zh-CN"/>
        </w:rPr>
      </w:pPr>
    </w:p>
    <w:p>
      <w:pPr>
        <w:rPr>
          <w:rFonts w:asciiTheme="minorEastAsia" w:hAnsiTheme="minorEastAsia"/>
          <w:sz w:val="28"/>
          <w:szCs w:val="28"/>
        </w:rPr>
      </w:pPr>
      <w:r>
        <w:rPr>
          <w:rFonts w:hint="eastAsia" w:asciiTheme="minorEastAsia" w:hAnsiTheme="minorEastAsia"/>
          <w:sz w:val="28"/>
          <w:szCs w:val="28"/>
        </w:rPr>
        <w:t>注：学员在报名或学习中遇到问题可咨询网站客服，客服联系方式为</w:t>
      </w:r>
    </w:p>
    <w:p>
      <w:pPr>
        <w:ind w:left="0" w:leftChars="0" w:firstLine="0" w:firstLineChars="0"/>
        <w:rPr>
          <w:rFonts w:asciiTheme="minorEastAsia" w:hAnsiTheme="minorEastAsia"/>
          <w:sz w:val="28"/>
          <w:szCs w:val="28"/>
        </w:rPr>
      </w:pPr>
      <w:r>
        <w:rPr>
          <w:rFonts w:hint="eastAsia" w:asciiTheme="minorEastAsia" w:hAnsiTheme="minorEastAsia"/>
          <w:sz w:val="28"/>
          <w:szCs w:val="28"/>
        </w:rPr>
        <w:t>联系电话：18910872180  18001261908</w:t>
      </w:r>
    </w:p>
    <w:p>
      <w:pPr>
        <w:ind w:firstLine="1500" w:firstLineChars="500"/>
        <w:rPr>
          <w:rFonts w:asciiTheme="minorEastAsia" w:hAnsiTheme="minorEastAsia"/>
          <w:sz w:val="28"/>
          <w:szCs w:val="28"/>
        </w:rPr>
      </w:pPr>
      <w:r>
        <w:rPr>
          <w:rFonts w:hint="eastAsia" w:asciiTheme="minorEastAsia" w:hAnsiTheme="minorEastAsia"/>
          <w:sz w:val="28"/>
          <w:szCs w:val="28"/>
        </w:rPr>
        <w:t>400-8989-889</w:t>
      </w:r>
    </w:p>
    <w:p>
      <w:pPr>
        <w:widowControl/>
        <w:jc w:val="both"/>
        <w:rPr>
          <w:rFonts w:hint="default"/>
          <w:sz w:val="28"/>
          <w:szCs w:val="28"/>
          <w:lang w:val="en-US" w:eastAsia="zh-CN"/>
        </w:rPr>
      </w:pPr>
      <w:r>
        <w:rPr>
          <w:rFonts w:hint="eastAsia" w:asciiTheme="minorEastAsia" w:hAnsiTheme="minorEastAsia"/>
          <w:sz w:val="28"/>
          <w:szCs w:val="28"/>
        </w:rPr>
        <w:t>Q</w:t>
      </w:r>
      <w:r>
        <w:rPr>
          <w:rFonts w:hint="eastAsia" w:asciiTheme="minorEastAsia" w:hAnsiTheme="minorEastAsia"/>
          <w:sz w:val="28"/>
          <w:szCs w:val="28"/>
          <w:lang w:val="en-US" w:eastAsia="zh-CN"/>
        </w:rPr>
        <w:t xml:space="preserve"> </w:t>
      </w:r>
      <w:r>
        <w:rPr>
          <w:rFonts w:hint="eastAsia" w:asciiTheme="minorEastAsia" w:hAnsiTheme="minorEastAsia"/>
          <w:sz w:val="28"/>
          <w:szCs w:val="28"/>
        </w:rPr>
        <w:t>Q：</w:t>
      </w:r>
      <w:r>
        <w:rPr>
          <w:rFonts w:hint="eastAsia" w:asciiTheme="minorEastAsia" w:hAnsiTheme="minorEastAsia"/>
          <w:sz w:val="28"/>
          <w:szCs w:val="28"/>
          <w:lang w:val="en-US" w:eastAsia="zh-CN"/>
        </w:rPr>
        <w:t>2324742015</w:t>
      </w:r>
      <w:r>
        <w:rPr>
          <w:rFonts w:hint="eastAsia" w:asciiTheme="minorEastAsia" w:hAnsiTheme="minorEastAsia"/>
          <w:sz w:val="28"/>
          <w:szCs w:val="28"/>
        </w:rPr>
        <w:t xml:space="preserve"> </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60"/>
      </w:pPr>
      <w:r>
        <w:separator/>
      </w:r>
    </w:p>
  </w:endnote>
  <w:endnote w:type="continuationSeparator" w:id="1">
    <w:p>
      <w:pPr>
        <w:spacing w:line="240" w:lineRule="auto"/>
        <w:ind w:firstLine="4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GB_2312">
    <w:altName w:val="仿宋"/>
    <w:panose1 w:val="00000000000000000000"/>
    <w:charset w:val="86"/>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40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4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0" w:leftChars="0" w:firstLine="0" w:firstLineChars="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60"/>
      </w:pPr>
      <w:r>
        <w:separator/>
      </w:r>
    </w:p>
  </w:footnote>
  <w:footnote w:type="continuationSeparator" w:id="1">
    <w:p>
      <w:pPr>
        <w:spacing w:line="360" w:lineRule="auto"/>
        <w:ind w:firstLine="4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EE0712"/>
    <w:multiLevelType w:val="singleLevel"/>
    <w:tmpl w:val="63EE071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1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Y3YTRmMDAxZTFjY2IxOGQ3MmJiNDY4MjIzZWRmZWQifQ=="/>
  </w:docVars>
  <w:rsids>
    <w:rsidRoot w:val="0032352B"/>
    <w:rsid w:val="00021BFC"/>
    <w:rsid w:val="00053071"/>
    <w:rsid w:val="001001D0"/>
    <w:rsid w:val="001350A8"/>
    <w:rsid w:val="001B5C1B"/>
    <w:rsid w:val="002021B0"/>
    <w:rsid w:val="00310D92"/>
    <w:rsid w:val="0032352B"/>
    <w:rsid w:val="00324DF1"/>
    <w:rsid w:val="003601E2"/>
    <w:rsid w:val="00472783"/>
    <w:rsid w:val="0054572B"/>
    <w:rsid w:val="006A0B9F"/>
    <w:rsid w:val="006E37DD"/>
    <w:rsid w:val="007163CC"/>
    <w:rsid w:val="00846C65"/>
    <w:rsid w:val="008A309B"/>
    <w:rsid w:val="00972FEF"/>
    <w:rsid w:val="00A3650E"/>
    <w:rsid w:val="00A67DF1"/>
    <w:rsid w:val="00C825A0"/>
    <w:rsid w:val="00D57659"/>
    <w:rsid w:val="00F331DB"/>
    <w:rsid w:val="00FE217D"/>
    <w:rsid w:val="01DC07BC"/>
    <w:rsid w:val="023A0287"/>
    <w:rsid w:val="028C0A9B"/>
    <w:rsid w:val="0CBB0C82"/>
    <w:rsid w:val="0DD37D93"/>
    <w:rsid w:val="106B3EF1"/>
    <w:rsid w:val="16972D96"/>
    <w:rsid w:val="16E845B8"/>
    <w:rsid w:val="17390F37"/>
    <w:rsid w:val="17A27F9B"/>
    <w:rsid w:val="18542523"/>
    <w:rsid w:val="19505997"/>
    <w:rsid w:val="1B243BE1"/>
    <w:rsid w:val="1CC8679F"/>
    <w:rsid w:val="249D5B66"/>
    <w:rsid w:val="25EC40AA"/>
    <w:rsid w:val="26D81B54"/>
    <w:rsid w:val="27EA0B2A"/>
    <w:rsid w:val="2B1D466C"/>
    <w:rsid w:val="305B6F01"/>
    <w:rsid w:val="30B07949"/>
    <w:rsid w:val="385FAA62"/>
    <w:rsid w:val="39FC0067"/>
    <w:rsid w:val="3A7570A4"/>
    <w:rsid w:val="3D906F0C"/>
    <w:rsid w:val="3FFF7EF5"/>
    <w:rsid w:val="402229FA"/>
    <w:rsid w:val="41FE1C2D"/>
    <w:rsid w:val="456E7786"/>
    <w:rsid w:val="45DC25BB"/>
    <w:rsid w:val="45DD6628"/>
    <w:rsid w:val="4AA174BB"/>
    <w:rsid w:val="4B7B58BB"/>
    <w:rsid w:val="4F7A3B6E"/>
    <w:rsid w:val="51104AEF"/>
    <w:rsid w:val="53E74CE1"/>
    <w:rsid w:val="55117B08"/>
    <w:rsid w:val="5B76D5B4"/>
    <w:rsid w:val="607670CA"/>
    <w:rsid w:val="65A4173C"/>
    <w:rsid w:val="676B3297"/>
    <w:rsid w:val="67FA56DC"/>
    <w:rsid w:val="6DA50365"/>
    <w:rsid w:val="6DA718CC"/>
    <w:rsid w:val="6DB25757"/>
    <w:rsid w:val="6F8E762A"/>
    <w:rsid w:val="74647749"/>
    <w:rsid w:val="75453A10"/>
    <w:rsid w:val="7B39335C"/>
    <w:rsid w:val="7E751558"/>
    <w:rsid w:val="B7D944DB"/>
    <w:rsid w:val="BEEF4690"/>
    <w:rsid w:val="EBF40D76"/>
    <w:rsid w:val="EBFEDFEE"/>
    <w:rsid w:val="ECFF4C36"/>
    <w:rsid w:val="EEEF62DE"/>
    <w:rsid w:val="F4BDCEB9"/>
    <w:rsid w:val="F5FE37B5"/>
    <w:rsid w:val="FB7F42A7"/>
    <w:rsid w:val="FD5826D7"/>
    <w:rsid w:val="FF5A6B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hAnsi="宋体" w:eastAsia="宋体" w:cstheme="minorBidi"/>
      <w:spacing w:val="10"/>
      <w:kern w:val="2"/>
      <w:sz w:val="21"/>
      <w:szCs w:val="22"/>
      <w:lang w:val="en-US" w:eastAsia="zh-CN" w:bidi="ar-SA"/>
    </w:rPr>
  </w:style>
  <w:style w:type="paragraph" w:styleId="2">
    <w:name w:val="heading 1"/>
    <w:basedOn w:val="1"/>
    <w:next w:val="1"/>
    <w:link w:val="18"/>
    <w:qFormat/>
    <w:uiPriority w:val="9"/>
    <w:pPr>
      <w:keepNext/>
      <w:keepLines/>
      <w:spacing w:before="300" w:after="200" w:line="480" w:lineRule="exact"/>
      <w:ind w:firstLine="0" w:firstLineChars="0"/>
      <w:jc w:val="center"/>
      <w:outlineLvl w:val="0"/>
    </w:pPr>
    <w:rPr>
      <w:rFonts w:ascii="黑体" w:eastAsia="黑体"/>
      <w:b/>
      <w:bCs/>
      <w:kern w:val="44"/>
      <w:sz w:val="28"/>
      <w:szCs w:val="44"/>
    </w:rPr>
  </w:style>
  <w:style w:type="paragraph" w:styleId="3">
    <w:name w:val="heading 2"/>
    <w:basedOn w:val="1"/>
    <w:next w:val="1"/>
    <w:link w:val="19"/>
    <w:unhideWhenUsed/>
    <w:qFormat/>
    <w:uiPriority w:val="9"/>
    <w:pPr>
      <w:keepNext/>
      <w:keepLines/>
      <w:spacing w:before="20" w:after="20"/>
      <w:ind w:firstLine="0" w:firstLineChars="0"/>
      <w:jc w:val="left"/>
      <w:outlineLvl w:val="1"/>
    </w:pPr>
    <w:rPr>
      <w:rFonts w:ascii="微软雅黑" w:eastAsia="微软雅黑" w:hAnsiTheme="majorHAnsi" w:cstheme="majorBidi"/>
      <w:b/>
      <w:bCs/>
      <w:szCs w:val="32"/>
    </w:rPr>
  </w:style>
  <w:style w:type="paragraph" w:styleId="4">
    <w:name w:val="heading 3"/>
    <w:basedOn w:val="1"/>
    <w:next w:val="1"/>
    <w:link w:val="20"/>
    <w:unhideWhenUsed/>
    <w:qFormat/>
    <w:uiPriority w:val="9"/>
    <w:pPr>
      <w:keepNext/>
      <w:keepLines/>
      <w:spacing w:before="40" w:after="20" w:line="408" w:lineRule="auto"/>
      <w:ind w:firstLine="0" w:firstLineChars="0"/>
      <w:jc w:val="left"/>
      <w:outlineLvl w:val="2"/>
    </w:pPr>
    <w:rPr>
      <w:rFonts w:ascii="黑体" w:eastAsia="黑体"/>
      <w:b/>
      <w:bCs/>
      <w:szCs w:val="32"/>
    </w:rPr>
  </w:style>
  <w:style w:type="paragraph" w:styleId="5">
    <w:name w:val="heading 4"/>
    <w:basedOn w:val="1"/>
    <w:next w:val="1"/>
    <w:link w:val="21"/>
    <w:unhideWhenUsed/>
    <w:qFormat/>
    <w:uiPriority w:val="9"/>
    <w:pPr>
      <w:keepNext/>
      <w:keepLines/>
      <w:spacing w:before="20" w:after="20"/>
      <w:ind w:firstLine="0" w:firstLineChars="0"/>
      <w:jc w:val="left"/>
      <w:outlineLvl w:val="3"/>
    </w:pPr>
    <w:rPr>
      <w:rFonts w:ascii="黑体" w:eastAsia="黑体" w:hAnsiTheme="majorHAnsi" w:cstheme="majorBidi"/>
      <w:b/>
      <w:bCs/>
      <w:szCs w:val="28"/>
    </w:rPr>
  </w:style>
  <w:style w:type="paragraph" w:styleId="6">
    <w:name w:val="heading 5"/>
    <w:basedOn w:val="1"/>
    <w:next w:val="1"/>
    <w:link w:val="22"/>
    <w:unhideWhenUsed/>
    <w:qFormat/>
    <w:uiPriority w:val="9"/>
    <w:pPr>
      <w:keepNext/>
      <w:keepLines/>
      <w:spacing w:before="20" w:after="20" w:line="377" w:lineRule="auto"/>
      <w:ind w:firstLine="0" w:firstLineChars="0"/>
      <w:outlineLvl w:val="4"/>
    </w:pPr>
    <w:rPr>
      <w:rFonts w:ascii="黑体" w:eastAsia="黑体"/>
      <w:b/>
      <w:bCs/>
      <w:szCs w:val="28"/>
    </w:rPr>
  </w:style>
  <w:style w:type="character" w:default="1" w:styleId="16">
    <w:name w:val="Default Paragraph Font"/>
    <w:unhideWhenUsed/>
    <w:qFormat/>
    <w:uiPriority w:val="1"/>
  </w:style>
  <w:style w:type="table" w:default="1" w:styleId="15">
    <w:name w:val="Normal Table"/>
    <w:autoRedefine/>
    <w:unhideWhenUsed/>
    <w:qFormat/>
    <w:uiPriority w:val="99"/>
    <w:tblPr>
      <w:tblCellMar>
        <w:top w:w="0" w:type="dxa"/>
        <w:left w:w="108" w:type="dxa"/>
        <w:bottom w:w="0" w:type="dxa"/>
        <w:right w:w="108" w:type="dxa"/>
      </w:tblCellMar>
    </w:tblPr>
  </w:style>
  <w:style w:type="paragraph" w:styleId="7">
    <w:name w:val="toc 3"/>
    <w:basedOn w:val="1"/>
    <w:next w:val="1"/>
    <w:unhideWhenUsed/>
    <w:qFormat/>
    <w:uiPriority w:val="39"/>
    <w:pPr>
      <w:ind w:left="840" w:leftChars="400"/>
    </w:pPr>
  </w:style>
  <w:style w:type="paragraph" w:styleId="8">
    <w:name w:val="footer"/>
    <w:basedOn w:val="1"/>
    <w:link w:val="26"/>
    <w:unhideWhenUsed/>
    <w:qFormat/>
    <w:uiPriority w:val="99"/>
    <w:pPr>
      <w:tabs>
        <w:tab w:val="center" w:pos="4153"/>
        <w:tab w:val="right" w:pos="8306"/>
      </w:tabs>
      <w:snapToGrid w:val="0"/>
      <w:spacing w:line="240" w:lineRule="auto"/>
      <w:jc w:val="left"/>
    </w:pPr>
    <w:rPr>
      <w:sz w:val="18"/>
      <w:szCs w:val="18"/>
    </w:rPr>
  </w:style>
  <w:style w:type="paragraph" w:styleId="9">
    <w:name w:val="header"/>
    <w:basedOn w:val="1"/>
    <w:link w:val="2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0">
    <w:name w:val="toc 1"/>
    <w:basedOn w:val="1"/>
    <w:next w:val="1"/>
    <w:unhideWhenUsed/>
    <w:qFormat/>
    <w:uiPriority w:val="39"/>
  </w:style>
  <w:style w:type="paragraph" w:styleId="11">
    <w:name w:val="toc 4"/>
    <w:basedOn w:val="1"/>
    <w:next w:val="1"/>
    <w:autoRedefine/>
    <w:unhideWhenUsed/>
    <w:qFormat/>
    <w:uiPriority w:val="39"/>
    <w:pPr>
      <w:ind w:left="1260" w:leftChars="600"/>
    </w:pPr>
  </w:style>
  <w:style w:type="paragraph" w:styleId="12">
    <w:name w:val="Subtitle"/>
    <w:basedOn w:val="1"/>
    <w:next w:val="1"/>
    <w:link w:val="24"/>
    <w:qFormat/>
    <w:uiPriority w:val="11"/>
    <w:pPr>
      <w:spacing w:before="20" w:after="20"/>
      <w:ind w:firstLine="0" w:firstLineChars="0"/>
      <w:jc w:val="left"/>
      <w:outlineLvl w:val="1"/>
    </w:pPr>
    <w:rPr>
      <w:rFonts w:ascii="黑体" w:eastAsia="黑体" w:hAnsiTheme="minorHAnsi"/>
      <w:b/>
      <w:bCs/>
      <w:kern w:val="28"/>
      <w:szCs w:val="32"/>
    </w:rPr>
  </w:style>
  <w:style w:type="paragraph" w:styleId="13">
    <w:name w:val="toc 2"/>
    <w:basedOn w:val="1"/>
    <w:next w:val="1"/>
    <w:unhideWhenUsed/>
    <w:qFormat/>
    <w:uiPriority w:val="39"/>
    <w:pPr>
      <w:ind w:left="420" w:leftChars="200"/>
    </w:pPr>
  </w:style>
  <w:style w:type="paragraph" w:styleId="14">
    <w:name w:val="Title"/>
    <w:basedOn w:val="1"/>
    <w:next w:val="1"/>
    <w:link w:val="23"/>
    <w:autoRedefine/>
    <w:qFormat/>
    <w:uiPriority w:val="10"/>
    <w:pPr>
      <w:spacing w:before="20" w:after="20"/>
      <w:ind w:firstLine="0" w:firstLineChars="0"/>
      <w:jc w:val="left"/>
      <w:outlineLvl w:val="0"/>
    </w:pPr>
    <w:rPr>
      <w:rFonts w:ascii="黑体" w:eastAsia="黑体" w:hAnsiTheme="majorHAnsi" w:cstheme="majorBidi"/>
      <w:b/>
      <w:bCs/>
      <w:szCs w:val="32"/>
    </w:r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customStyle="1" w:styleId="18">
    <w:name w:val="标题 1 字符"/>
    <w:basedOn w:val="16"/>
    <w:link w:val="2"/>
    <w:autoRedefine/>
    <w:qFormat/>
    <w:uiPriority w:val="9"/>
    <w:rPr>
      <w:rFonts w:ascii="黑体" w:hAnsi="宋体" w:eastAsia="黑体"/>
      <w:b/>
      <w:bCs/>
      <w:spacing w:val="10"/>
      <w:kern w:val="44"/>
      <w:sz w:val="28"/>
      <w:szCs w:val="44"/>
    </w:rPr>
  </w:style>
  <w:style w:type="character" w:customStyle="1" w:styleId="19">
    <w:name w:val="标题 2 字符"/>
    <w:basedOn w:val="16"/>
    <w:link w:val="3"/>
    <w:qFormat/>
    <w:uiPriority w:val="9"/>
    <w:rPr>
      <w:rFonts w:ascii="微软雅黑" w:eastAsia="微软雅黑" w:hAnsiTheme="majorHAnsi" w:cstheme="majorBidi"/>
      <w:b/>
      <w:bCs/>
      <w:spacing w:val="10"/>
      <w:szCs w:val="32"/>
    </w:rPr>
  </w:style>
  <w:style w:type="character" w:customStyle="1" w:styleId="20">
    <w:name w:val="标题 3 字符"/>
    <w:basedOn w:val="16"/>
    <w:link w:val="4"/>
    <w:qFormat/>
    <w:uiPriority w:val="9"/>
    <w:rPr>
      <w:rFonts w:ascii="黑体" w:hAnsi="宋体" w:eastAsia="黑体"/>
      <w:b/>
      <w:bCs/>
      <w:spacing w:val="10"/>
      <w:szCs w:val="32"/>
    </w:rPr>
  </w:style>
  <w:style w:type="character" w:customStyle="1" w:styleId="21">
    <w:name w:val="标题 4 字符"/>
    <w:basedOn w:val="16"/>
    <w:link w:val="5"/>
    <w:qFormat/>
    <w:uiPriority w:val="9"/>
    <w:rPr>
      <w:rFonts w:ascii="黑体" w:eastAsia="黑体" w:hAnsiTheme="majorHAnsi" w:cstheme="majorBidi"/>
      <w:b/>
      <w:bCs/>
      <w:spacing w:val="10"/>
      <w:szCs w:val="28"/>
    </w:rPr>
  </w:style>
  <w:style w:type="character" w:customStyle="1" w:styleId="22">
    <w:name w:val="标题 5 字符"/>
    <w:basedOn w:val="16"/>
    <w:link w:val="6"/>
    <w:autoRedefine/>
    <w:qFormat/>
    <w:uiPriority w:val="9"/>
    <w:rPr>
      <w:rFonts w:ascii="黑体" w:hAnsi="宋体" w:eastAsia="黑体"/>
      <w:b/>
      <w:bCs/>
      <w:spacing w:val="10"/>
      <w:szCs w:val="28"/>
    </w:rPr>
  </w:style>
  <w:style w:type="character" w:customStyle="1" w:styleId="23">
    <w:name w:val="标题 字符"/>
    <w:basedOn w:val="16"/>
    <w:link w:val="14"/>
    <w:autoRedefine/>
    <w:qFormat/>
    <w:uiPriority w:val="10"/>
    <w:rPr>
      <w:rFonts w:ascii="黑体" w:eastAsia="黑体" w:hAnsiTheme="majorHAnsi" w:cstheme="majorBidi"/>
      <w:b/>
      <w:bCs/>
      <w:spacing w:val="10"/>
      <w:szCs w:val="32"/>
    </w:rPr>
  </w:style>
  <w:style w:type="character" w:customStyle="1" w:styleId="24">
    <w:name w:val="副标题 字符"/>
    <w:basedOn w:val="16"/>
    <w:link w:val="12"/>
    <w:qFormat/>
    <w:uiPriority w:val="11"/>
    <w:rPr>
      <w:rFonts w:ascii="黑体" w:eastAsia="黑体"/>
      <w:b/>
      <w:bCs/>
      <w:spacing w:val="10"/>
      <w:kern w:val="28"/>
      <w:szCs w:val="32"/>
    </w:rPr>
  </w:style>
  <w:style w:type="character" w:customStyle="1" w:styleId="25">
    <w:name w:val="页眉 字符"/>
    <w:basedOn w:val="16"/>
    <w:link w:val="9"/>
    <w:qFormat/>
    <w:uiPriority w:val="99"/>
    <w:rPr>
      <w:rFonts w:ascii="宋体" w:hAnsi="宋体" w:eastAsia="宋体"/>
      <w:spacing w:val="10"/>
      <w:sz w:val="18"/>
      <w:szCs w:val="18"/>
    </w:rPr>
  </w:style>
  <w:style w:type="character" w:customStyle="1" w:styleId="26">
    <w:name w:val="页脚 字符"/>
    <w:basedOn w:val="16"/>
    <w:link w:val="8"/>
    <w:qFormat/>
    <w:uiPriority w:val="99"/>
    <w:rPr>
      <w:rFonts w:ascii="宋体" w:hAnsi="宋体" w:eastAsia="宋体"/>
      <w:spacing w:val="1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1082</Words>
  <Characters>1210</Characters>
  <Lines>18</Lines>
  <Paragraphs>5</Paragraphs>
  <TotalTime>11</TotalTime>
  <ScaleCrop>false</ScaleCrop>
  <LinksUpToDate>false</LinksUpToDate>
  <CharactersWithSpaces>1219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2021-08-20T08:05:00Z</dcterms:created>
  <dc:creator>戴尔</dc:creator>
  <cp:lastModifiedBy>栾文丽</cp:lastModifiedBy>
  <dcterms:modified xsi:type="dcterms:W3CDTF">2024-03-26T06:10:17Z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866F0D0CFA0E4009A533DC213AEC69D7_13</vt:lpwstr>
  </property>
</Properties>
</file>